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AF0" w:rsidRPr="002C4467" w:rsidRDefault="00324AF0" w:rsidP="00324AF0">
      <w:pPr>
        <w:widowControl w:val="0"/>
        <w:autoSpaceDE w:val="0"/>
        <w:autoSpaceDN w:val="0"/>
        <w:spacing w:line="276" w:lineRule="auto"/>
        <w:ind w:right="96"/>
        <w:jc w:val="center"/>
        <w:rPr>
          <w:rFonts w:eastAsia="Arial MT"/>
          <w:color w:val="auto"/>
          <w:sz w:val="21"/>
          <w:szCs w:val="21"/>
          <w:lang w:eastAsia="en-US"/>
        </w:rPr>
      </w:pP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Texto aprobado en primer debate en la Comisión Segunda Permanente </w:t>
      </w:r>
      <w:r w:rsidR="00A50704">
        <w:rPr>
          <w:rFonts w:eastAsia="Arial MT"/>
          <w:color w:val="auto"/>
          <w:sz w:val="21"/>
          <w:szCs w:val="21"/>
          <w:lang w:eastAsia="en-US"/>
        </w:rPr>
        <w:t>de Gobierno en sesión del día 11</w:t>
      </w:r>
      <w:bookmarkStart w:id="0" w:name="_GoBack"/>
      <w:bookmarkEnd w:id="0"/>
      <w:r w:rsidRPr="002C4467">
        <w:rPr>
          <w:rFonts w:eastAsia="Arial MT"/>
          <w:color w:val="auto"/>
          <w:sz w:val="21"/>
          <w:szCs w:val="21"/>
          <w:lang w:eastAsia="en-US"/>
        </w:rPr>
        <w:t xml:space="preserve"> de marzo de 2025.</w:t>
      </w:r>
    </w:p>
    <w:p w:rsidR="00324AF0" w:rsidRPr="002C4467" w:rsidRDefault="00324AF0" w:rsidP="00324AF0">
      <w:pPr>
        <w:widowControl w:val="0"/>
        <w:autoSpaceDE w:val="0"/>
        <w:autoSpaceDN w:val="0"/>
        <w:spacing w:line="276" w:lineRule="auto"/>
        <w:ind w:right="96"/>
        <w:jc w:val="center"/>
        <w:rPr>
          <w:rFonts w:eastAsia="Arial MT"/>
          <w:color w:val="auto"/>
          <w:sz w:val="21"/>
          <w:szCs w:val="21"/>
          <w:lang w:eastAsia="en-US"/>
        </w:rPr>
      </w:pPr>
    </w:p>
    <w:p w:rsidR="00324AF0" w:rsidRPr="002C4467" w:rsidRDefault="00324AF0" w:rsidP="00324AF0">
      <w:pPr>
        <w:widowControl w:val="0"/>
        <w:autoSpaceDE w:val="0"/>
        <w:autoSpaceDN w:val="0"/>
        <w:spacing w:line="276" w:lineRule="auto"/>
        <w:ind w:right="96"/>
        <w:jc w:val="center"/>
        <w:rPr>
          <w:rFonts w:eastAsia="Arial MT"/>
          <w:b/>
          <w:color w:val="auto"/>
          <w:sz w:val="21"/>
          <w:szCs w:val="21"/>
          <w:lang w:eastAsia="en-US"/>
        </w:rPr>
      </w:pPr>
      <w:r w:rsidRPr="002C4467">
        <w:rPr>
          <w:rFonts w:eastAsia="Arial MT"/>
          <w:b/>
          <w:color w:val="auto"/>
          <w:sz w:val="21"/>
          <w:szCs w:val="21"/>
          <w:lang w:eastAsia="en-US"/>
        </w:rPr>
        <w:t>PROYECTO DE ACUERDO 179 DE 2025</w:t>
      </w:r>
    </w:p>
    <w:p w:rsidR="00324AF0" w:rsidRPr="002C4467" w:rsidRDefault="00324AF0" w:rsidP="00324AF0">
      <w:pPr>
        <w:widowControl w:val="0"/>
        <w:autoSpaceDE w:val="0"/>
        <w:autoSpaceDN w:val="0"/>
        <w:spacing w:line="276" w:lineRule="auto"/>
        <w:ind w:right="96"/>
        <w:jc w:val="center"/>
        <w:rPr>
          <w:rFonts w:eastAsia="Arial MT"/>
          <w:color w:val="auto"/>
          <w:sz w:val="21"/>
          <w:szCs w:val="21"/>
          <w:lang w:eastAsia="en-US"/>
        </w:rPr>
      </w:pPr>
    </w:p>
    <w:p w:rsidR="00324AF0" w:rsidRPr="002C4467" w:rsidRDefault="00324AF0" w:rsidP="00324AF0">
      <w:pPr>
        <w:widowControl w:val="0"/>
        <w:autoSpaceDE w:val="0"/>
        <w:autoSpaceDN w:val="0"/>
        <w:spacing w:line="276" w:lineRule="auto"/>
        <w:ind w:right="96"/>
        <w:jc w:val="center"/>
        <w:rPr>
          <w:rFonts w:eastAsia="Arial MT"/>
          <w:b/>
          <w:color w:val="auto"/>
          <w:sz w:val="21"/>
          <w:szCs w:val="21"/>
          <w:lang w:eastAsia="en-US"/>
        </w:rPr>
      </w:pPr>
      <w:r w:rsidRPr="002C4467">
        <w:rPr>
          <w:rFonts w:eastAsia="Arial MT"/>
          <w:b/>
          <w:color w:val="auto"/>
          <w:sz w:val="21"/>
          <w:szCs w:val="21"/>
          <w:lang w:eastAsia="en-US"/>
        </w:rPr>
        <w:t>“POR MEDIO DEL CUAL SE ESTABLECEN</w:t>
      </w:r>
      <w:r w:rsidRPr="002C4467">
        <w:rPr>
          <w:rFonts w:eastAsia="Arial MT"/>
          <w:b/>
          <w:color w:val="auto"/>
          <w:spacing w:val="-11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LINEAMIENTOS</w:t>
      </w:r>
      <w:r w:rsidRPr="002C4467">
        <w:rPr>
          <w:rFonts w:eastAsia="Arial MT"/>
          <w:b/>
          <w:color w:val="auto"/>
          <w:spacing w:val="-11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PARA</w:t>
      </w:r>
      <w:r w:rsidRPr="002C4467">
        <w:rPr>
          <w:rFonts w:eastAsia="Arial MT"/>
          <w:b/>
          <w:color w:val="auto"/>
          <w:spacing w:val="-11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EL FORTALECIMIENTO DE LA RUTA DISTRITAL DE DENUNCIA Y ATENCIÓN INTEGRAL PARA</w:t>
      </w:r>
      <w:r w:rsidRPr="002C4467">
        <w:rPr>
          <w:rFonts w:eastAsia="Arial MT"/>
          <w:b/>
          <w:color w:val="auto"/>
          <w:spacing w:val="57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LAS</w:t>
      </w:r>
      <w:r w:rsidRPr="002C4467">
        <w:rPr>
          <w:rFonts w:eastAsia="Arial MT"/>
          <w:b/>
          <w:color w:val="auto"/>
          <w:spacing w:val="58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VÍCTIMAS</w:t>
      </w:r>
      <w:r w:rsidRPr="002C4467">
        <w:rPr>
          <w:rFonts w:eastAsia="Arial MT"/>
          <w:b/>
          <w:color w:val="auto"/>
          <w:spacing w:val="58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DE</w:t>
      </w:r>
      <w:r w:rsidR="00517DB3" w:rsidRPr="002C4467">
        <w:rPr>
          <w:rFonts w:eastAsia="Arial MT"/>
          <w:b/>
          <w:color w:val="auto"/>
          <w:sz w:val="21"/>
          <w:szCs w:val="21"/>
          <w:lang w:eastAsia="en-US"/>
        </w:rPr>
        <w:t>L DELITO DE</w:t>
      </w:r>
      <w:r w:rsidRPr="002C4467">
        <w:rPr>
          <w:rFonts w:eastAsia="Arial MT"/>
          <w:b/>
          <w:color w:val="auto"/>
          <w:spacing w:val="58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pacing w:val="-2"/>
          <w:sz w:val="21"/>
          <w:szCs w:val="21"/>
          <w:lang w:eastAsia="en-US"/>
        </w:rPr>
        <w:t>EXTORSIÓN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 xml:space="preserve"> EN</w:t>
      </w:r>
      <w:r w:rsidRPr="002C4467">
        <w:rPr>
          <w:rFonts w:eastAsia="Arial MT"/>
          <w:b/>
          <w:color w:val="auto"/>
          <w:spacing w:val="-4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EL</w:t>
      </w:r>
      <w:r w:rsidRPr="002C4467">
        <w:rPr>
          <w:rFonts w:eastAsia="Arial MT"/>
          <w:b/>
          <w:color w:val="auto"/>
          <w:spacing w:val="-4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DISTRITO</w:t>
      </w:r>
      <w:r w:rsidRPr="002C4467">
        <w:rPr>
          <w:rFonts w:eastAsia="Arial MT"/>
          <w:b/>
          <w:color w:val="auto"/>
          <w:spacing w:val="-4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pacing w:val="-2"/>
          <w:sz w:val="21"/>
          <w:szCs w:val="21"/>
          <w:lang w:eastAsia="en-US"/>
        </w:rPr>
        <w:t>CAPITAL</w:t>
      </w:r>
      <w:r w:rsidR="00517DB3" w:rsidRPr="002C4467">
        <w:rPr>
          <w:rFonts w:eastAsia="Arial MT"/>
          <w:b/>
          <w:color w:val="auto"/>
          <w:spacing w:val="-2"/>
          <w:sz w:val="21"/>
          <w:szCs w:val="21"/>
          <w:lang w:eastAsia="en-US"/>
        </w:rPr>
        <w:t xml:space="preserve"> Y SE DICTAN OTRAS DISPOSICIONES</w:t>
      </w:r>
      <w:r w:rsidRPr="002C4467">
        <w:rPr>
          <w:rFonts w:eastAsia="Arial MT"/>
          <w:b/>
          <w:color w:val="auto"/>
          <w:spacing w:val="-2"/>
          <w:sz w:val="21"/>
          <w:szCs w:val="21"/>
          <w:lang w:eastAsia="en-US"/>
        </w:rPr>
        <w:t>”</w:t>
      </w:r>
    </w:p>
    <w:p w:rsidR="00324AF0" w:rsidRPr="002C4467" w:rsidRDefault="00324AF0" w:rsidP="00324AF0">
      <w:pPr>
        <w:jc w:val="both"/>
        <w:rPr>
          <w:b/>
          <w:i/>
          <w:sz w:val="21"/>
          <w:szCs w:val="21"/>
        </w:rPr>
      </w:pPr>
    </w:p>
    <w:p w:rsidR="00324AF0" w:rsidRPr="002C4467" w:rsidRDefault="00324AF0" w:rsidP="00324AF0">
      <w:pPr>
        <w:jc w:val="center"/>
        <w:rPr>
          <w:b/>
          <w:sz w:val="21"/>
          <w:szCs w:val="21"/>
        </w:rPr>
      </w:pPr>
      <w:r w:rsidRPr="002C4467">
        <w:rPr>
          <w:b/>
          <w:sz w:val="21"/>
          <w:szCs w:val="21"/>
        </w:rPr>
        <w:t xml:space="preserve">EL CONCEJO DE BOGOTÁ, DISTRITO CAPITAL </w:t>
      </w:r>
    </w:p>
    <w:p w:rsidR="00324AF0" w:rsidRPr="002C4467" w:rsidRDefault="00324AF0" w:rsidP="00324AF0">
      <w:pPr>
        <w:jc w:val="center"/>
        <w:rPr>
          <w:b/>
          <w:sz w:val="21"/>
          <w:szCs w:val="21"/>
        </w:rPr>
      </w:pPr>
    </w:p>
    <w:p w:rsidR="00324AF0" w:rsidRPr="002C4467" w:rsidRDefault="00324AF0" w:rsidP="00324AF0">
      <w:pPr>
        <w:jc w:val="center"/>
        <w:rPr>
          <w:sz w:val="21"/>
          <w:szCs w:val="21"/>
        </w:rPr>
      </w:pPr>
      <w:r w:rsidRPr="002C4467">
        <w:rPr>
          <w:sz w:val="21"/>
          <w:szCs w:val="21"/>
        </w:rPr>
        <w:t>En ejercicio de sus atribuciones constitucionales y legales, que le confiere el artículo 322 de la Constitución Política y el numeral 15 del artículo 12 del Decreto Ley 1421 de 1993,</w:t>
      </w:r>
    </w:p>
    <w:p w:rsidR="00324AF0" w:rsidRPr="002C4467" w:rsidRDefault="00324AF0" w:rsidP="00324AF0">
      <w:pPr>
        <w:rPr>
          <w:b/>
          <w:sz w:val="21"/>
          <w:szCs w:val="21"/>
        </w:rPr>
      </w:pPr>
    </w:p>
    <w:p w:rsidR="00324AF0" w:rsidRPr="002C4467" w:rsidRDefault="00324AF0" w:rsidP="00324AF0">
      <w:pPr>
        <w:jc w:val="center"/>
        <w:rPr>
          <w:b/>
          <w:sz w:val="21"/>
          <w:szCs w:val="21"/>
        </w:rPr>
      </w:pPr>
      <w:r w:rsidRPr="002C4467">
        <w:rPr>
          <w:b/>
          <w:sz w:val="21"/>
          <w:szCs w:val="21"/>
        </w:rPr>
        <w:t>ACUERDA:</w:t>
      </w:r>
    </w:p>
    <w:p w:rsidR="00324AF0" w:rsidRPr="002C4467" w:rsidRDefault="00324AF0" w:rsidP="00324AF0">
      <w:pPr>
        <w:jc w:val="both"/>
        <w:rPr>
          <w:b/>
          <w:color w:val="auto"/>
          <w:sz w:val="21"/>
          <w:szCs w:val="21"/>
        </w:rPr>
      </w:pPr>
    </w:p>
    <w:p w:rsidR="00324AF0" w:rsidRPr="002C4467" w:rsidRDefault="00324AF0" w:rsidP="00324AF0">
      <w:pPr>
        <w:spacing w:after="240"/>
        <w:jc w:val="both"/>
        <w:rPr>
          <w:color w:val="auto"/>
          <w:sz w:val="21"/>
          <w:szCs w:val="21"/>
        </w:rPr>
      </w:pPr>
      <w:r w:rsidRPr="002C4467">
        <w:rPr>
          <w:b/>
          <w:color w:val="auto"/>
          <w:sz w:val="21"/>
          <w:szCs w:val="21"/>
        </w:rPr>
        <w:t>Artículo 1</w:t>
      </w:r>
      <w:r w:rsidRPr="002C4467">
        <w:rPr>
          <w:color w:val="auto"/>
          <w:sz w:val="21"/>
          <w:szCs w:val="21"/>
        </w:rPr>
        <w:t xml:space="preserve">. </w:t>
      </w:r>
      <w:r w:rsidRPr="002C4467">
        <w:rPr>
          <w:b/>
          <w:color w:val="auto"/>
          <w:sz w:val="21"/>
          <w:szCs w:val="21"/>
        </w:rPr>
        <w:t>Objeto</w:t>
      </w:r>
      <w:r w:rsidRPr="002C4467">
        <w:rPr>
          <w:color w:val="auto"/>
          <w:sz w:val="21"/>
          <w:szCs w:val="21"/>
        </w:rPr>
        <w:t>. Establecer lineamientos para fortalecer la ruta distrital que apoye la denuncia y promueva la atención integral a las víctimas de extorsión en el Distrito Capital.</w:t>
      </w:r>
    </w:p>
    <w:p w:rsidR="00324AF0" w:rsidRPr="002C4467" w:rsidRDefault="00324AF0" w:rsidP="00324AF0">
      <w:pPr>
        <w:spacing w:after="240"/>
        <w:jc w:val="both"/>
        <w:rPr>
          <w:rFonts w:eastAsia="Arial MT"/>
          <w:color w:val="auto"/>
          <w:spacing w:val="-2"/>
          <w:sz w:val="21"/>
          <w:szCs w:val="21"/>
          <w:lang w:eastAsia="en-US"/>
        </w:rPr>
      </w:pPr>
      <w:r w:rsidRPr="002C4467">
        <w:rPr>
          <w:rFonts w:eastAsia="Arial MT"/>
          <w:b/>
          <w:color w:val="auto"/>
          <w:sz w:val="21"/>
          <w:szCs w:val="21"/>
          <w:lang w:eastAsia="en-US"/>
        </w:rPr>
        <w:t xml:space="preserve">Artículo 2. Atención Integral: 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El </w:t>
      </w:r>
      <w:r w:rsidR="00E01224">
        <w:rPr>
          <w:rFonts w:eastAsia="Arial MT"/>
          <w:color w:val="auto"/>
          <w:sz w:val="21"/>
          <w:szCs w:val="21"/>
          <w:lang w:eastAsia="en-US"/>
        </w:rPr>
        <w:t>D</w:t>
      </w:r>
      <w:r w:rsidRPr="002C4467">
        <w:rPr>
          <w:rFonts w:eastAsia="Arial MT"/>
          <w:color w:val="auto"/>
          <w:sz w:val="21"/>
          <w:szCs w:val="21"/>
          <w:lang w:eastAsia="en-US"/>
        </w:rPr>
        <w:t>istrito</w:t>
      </w:r>
      <w:r w:rsidR="00E01224">
        <w:rPr>
          <w:rFonts w:eastAsia="Arial MT"/>
          <w:color w:val="auto"/>
          <w:sz w:val="21"/>
          <w:szCs w:val="21"/>
          <w:lang w:eastAsia="en-US"/>
        </w:rPr>
        <w:t xml:space="preserve"> Capital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 a través de los equipos de Asistencia Integral a la Denuncia (AIDE),</w:t>
      </w:r>
      <w:r w:rsidR="00593939">
        <w:rPr>
          <w:rFonts w:eastAsia="Arial MT"/>
          <w:color w:val="auto"/>
          <w:sz w:val="21"/>
          <w:szCs w:val="21"/>
          <w:lang w:eastAsia="en-US"/>
        </w:rPr>
        <w:t xml:space="preserve"> de la Secretaría Distrital de Seguridad, Convivencia y Justicia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 o de la entidad competente</w:t>
      </w:r>
      <w:r w:rsidR="009335C8">
        <w:rPr>
          <w:rFonts w:eastAsia="Arial MT"/>
          <w:color w:val="auto"/>
          <w:sz w:val="21"/>
          <w:szCs w:val="21"/>
          <w:lang w:eastAsia="en-US"/>
        </w:rPr>
        <w:t>,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 propenderá por la atención y activación de una Ruta integral </w:t>
      </w:r>
      <w:r w:rsidRPr="002C4467">
        <w:rPr>
          <w:rFonts w:eastAsia="Arial MT"/>
          <w:color w:val="auto"/>
          <w:spacing w:val="-2"/>
          <w:sz w:val="21"/>
          <w:szCs w:val="21"/>
          <w:lang w:eastAsia="en-US"/>
        </w:rPr>
        <w:t>en</w:t>
      </w:r>
      <w:r w:rsidRPr="002C4467">
        <w:rPr>
          <w:rFonts w:eastAsia="Arial MT"/>
          <w:color w:val="auto"/>
          <w:spacing w:val="-7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pacing w:val="-2"/>
          <w:sz w:val="21"/>
          <w:szCs w:val="21"/>
          <w:lang w:eastAsia="en-US"/>
        </w:rPr>
        <w:t>los</w:t>
      </w:r>
      <w:r w:rsidRPr="002C4467">
        <w:rPr>
          <w:rFonts w:eastAsia="Arial MT"/>
          <w:color w:val="auto"/>
          <w:spacing w:val="-7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pacing w:val="-2"/>
          <w:sz w:val="21"/>
          <w:szCs w:val="21"/>
          <w:lang w:eastAsia="en-US"/>
        </w:rPr>
        <w:t>casos</w:t>
      </w:r>
      <w:r w:rsidRPr="002C4467">
        <w:rPr>
          <w:rFonts w:eastAsia="Arial MT"/>
          <w:color w:val="auto"/>
          <w:spacing w:val="-7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pacing w:val="-5"/>
          <w:sz w:val="21"/>
          <w:szCs w:val="21"/>
          <w:lang w:eastAsia="en-US"/>
        </w:rPr>
        <w:t xml:space="preserve">que </w:t>
      </w:r>
      <w:r w:rsidRPr="002C4467">
        <w:rPr>
          <w:rFonts w:eastAsia="Arial MT"/>
          <w:color w:val="auto"/>
          <w:sz w:val="21"/>
          <w:szCs w:val="21"/>
          <w:lang w:eastAsia="en-US"/>
        </w:rPr>
        <w:t>se</w:t>
      </w:r>
      <w:r w:rsidRPr="002C4467">
        <w:rPr>
          <w:rFonts w:eastAsia="Arial MT"/>
          <w:color w:val="auto"/>
          <w:spacing w:val="-2"/>
          <w:sz w:val="21"/>
          <w:szCs w:val="21"/>
          <w:lang w:eastAsia="en-US"/>
        </w:rPr>
        <w:t xml:space="preserve"> requiera</w:t>
      </w:r>
      <w:r w:rsidRPr="002C4467">
        <w:rPr>
          <w:rFonts w:eastAsia="Arial MT"/>
          <w:color w:val="auto"/>
          <w:sz w:val="21"/>
          <w:szCs w:val="21"/>
          <w:lang w:eastAsia="en-US"/>
        </w:rPr>
        <w:t>.</w:t>
      </w:r>
    </w:p>
    <w:p w:rsidR="00324AF0" w:rsidRPr="002C4467" w:rsidRDefault="00324AF0" w:rsidP="00324AF0">
      <w:pPr>
        <w:jc w:val="both"/>
        <w:rPr>
          <w:color w:val="auto"/>
          <w:sz w:val="21"/>
          <w:szCs w:val="21"/>
        </w:rPr>
      </w:pPr>
      <w:r w:rsidRPr="002C4467">
        <w:rPr>
          <w:b/>
          <w:color w:val="auto"/>
          <w:sz w:val="21"/>
          <w:szCs w:val="21"/>
        </w:rPr>
        <w:t xml:space="preserve">Artículo 3. Campañas de Pedagogía en Prevención y Capacitación. </w:t>
      </w:r>
      <w:r w:rsidRPr="002C4467">
        <w:rPr>
          <w:color w:val="auto"/>
          <w:sz w:val="21"/>
          <w:szCs w:val="21"/>
        </w:rPr>
        <w:t>Las campañas de pedagogía serán una herramienta clave en el fortalecimiento de la ruta de denuncia, la prevención de</w:t>
      </w:r>
      <w:r w:rsidR="000936EC">
        <w:rPr>
          <w:color w:val="auto"/>
          <w:sz w:val="21"/>
          <w:szCs w:val="21"/>
        </w:rPr>
        <w:t>l delito de</w:t>
      </w:r>
      <w:r w:rsidRPr="002C4467">
        <w:rPr>
          <w:color w:val="auto"/>
          <w:sz w:val="21"/>
          <w:szCs w:val="21"/>
        </w:rPr>
        <w:t xml:space="preserve"> extorsión y la sensibilización de la ciudadanía. La capacitación, difusión y divulgación preventiva se realizará a través de diversos canales y medios de comunicación, y se extenderá a instancias representativas y consultivas, como instituciones públicas, colegios públicos, Juntas de Acción Comunal, así como a colegios e instituciones privadas, a quienes se les incentivará a adoptar y llevar a cabo estas campañas de manera periódica.</w:t>
      </w:r>
    </w:p>
    <w:p w:rsidR="00324AF0" w:rsidRPr="002C4467" w:rsidRDefault="00324AF0" w:rsidP="00324AF0">
      <w:pPr>
        <w:jc w:val="both"/>
        <w:rPr>
          <w:b/>
          <w:color w:val="auto"/>
          <w:sz w:val="21"/>
          <w:szCs w:val="21"/>
        </w:rPr>
      </w:pPr>
    </w:p>
    <w:p w:rsidR="00324AF0" w:rsidRPr="002C4467" w:rsidRDefault="00324AF0" w:rsidP="00324AF0">
      <w:pPr>
        <w:spacing w:after="240"/>
        <w:jc w:val="both"/>
        <w:rPr>
          <w:rFonts w:eastAsia="Times New Roman"/>
          <w:color w:val="auto"/>
          <w:sz w:val="21"/>
          <w:szCs w:val="21"/>
          <w:lang w:val="es-CO"/>
        </w:rPr>
      </w:pPr>
      <w:r w:rsidRPr="002C4467">
        <w:rPr>
          <w:b/>
          <w:color w:val="auto"/>
          <w:sz w:val="21"/>
          <w:szCs w:val="21"/>
        </w:rPr>
        <w:t xml:space="preserve">Parágrafo: </w:t>
      </w:r>
      <w:r w:rsidRPr="002C4467">
        <w:rPr>
          <w:color w:val="auto"/>
          <w:sz w:val="21"/>
          <w:szCs w:val="21"/>
        </w:rPr>
        <w:t>Una vez sancionado y publicado el presente acuerdo, se deberá elaborar una guía que brinde instrucciones claras a la víctima sobre las recomendaciones para actuar frente a situaciones de</w:t>
      </w:r>
      <w:r w:rsidR="000936EC">
        <w:rPr>
          <w:color w:val="auto"/>
          <w:sz w:val="21"/>
          <w:szCs w:val="21"/>
        </w:rPr>
        <w:t>l delito de</w:t>
      </w:r>
      <w:r w:rsidRPr="002C4467">
        <w:rPr>
          <w:color w:val="auto"/>
          <w:sz w:val="21"/>
          <w:szCs w:val="21"/>
        </w:rPr>
        <w:t xml:space="preserve"> extorsión y sobre cómo acceder y adoptar la ruta de denuncia, la cual deberá estar disponible en un plazo no mayor a un (1) año.</w:t>
      </w:r>
    </w:p>
    <w:p w:rsidR="00324AF0" w:rsidRPr="002C4467" w:rsidRDefault="00324AF0" w:rsidP="00324AF0">
      <w:pPr>
        <w:widowControl w:val="0"/>
        <w:autoSpaceDE w:val="0"/>
        <w:autoSpaceDN w:val="0"/>
        <w:jc w:val="both"/>
        <w:rPr>
          <w:rFonts w:eastAsia="Arial MT"/>
          <w:color w:val="auto"/>
          <w:sz w:val="21"/>
          <w:szCs w:val="21"/>
          <w:lang w:eastAsia="en-US"/>
        </w:rPr>
      </w:pPr>
      <w:r w:rsidRPr="002C4467">
        <w:rPr>
          <w:rFonts w:eastAsia="Arial MT"/>
          <w:b/>
          <w:color w:val="auto"/>
          <w:sz w:val="21"/>
          <w:szCs w:val="21"/>
          <w:lang w:eastAsia="en-US"/>
        </w:rPr>
        <w:t>Artículo 4. Estrategias de articulación intersectorial y la empresa privada</w:t>
      </w:r>
      <w:r w:rsidRPr="002C4467">
        <w:rPr>
          <w:rFonts w:eastAsia="Arial MT"/>
          <w:color w:val="auto"/>
          <w:sz w:val="21"/>
          <w:szCs w:val="21"/>
          <w:lang w:eastAsia="en-US"/>
        </w:rPr>
        <w:t>: El Distrito fortalecerá el programa "Red de Tiendas Seguras" y promoverá la creación de alianzas público-privadas con la sociedad civil, con el fin de articular acciones en la prevención, protección y asistencia a las denuncias por</w:t>
      </w:r>
      <w:r w:rsidR="000936EC">
        <w:rPr>
          <w:rFonts w:eastAsia="Arial MT"/>
          <w:color w:val="auto"/>
          <w:sz w:val="21"/>
          <w:szCs w:val="21"/>
          <w:lang w:eastAsia="en-US"/>
        </w:rPr>
        <w:t xml:space="preserve"> el delito de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 extorsión, involucrando al sector privado y a los comerciantes de Bogotá.</w:t>
      </w:r>
    </w:p>
    <w:p w:rsidR="00324AF0" w:rsidRPr="002C4467" w:rsidRDefault="00324AF0" w:rsidP="00324AF0">
      <w:pPr>
        <w:widowControl w:val="0"/>
        <w:autoSpaceDE w:val="0"/>
        <w:autoSpaceDN w:val="0"/>
        <w:spacing w:line="276" w:lineRule="auto"/>
        <w:ind w:right="97"/>
        <w:jc w:val="both"/>
        <w:rPr>
          <w:rFonts w:eastAsia="Arial MT"/>
          <w:b/>
          <w:color w:val="auto"/>
          <w:sz w:val="21"/>
          <w:szCs w:val="21"/>
          <w:lang w:eastAsia="en-US"/>
        </w:rPr>
      </w:pPr>
    </w:p>
    <w:p w:rsidR="00324AF0" w:rsidRPr="002C4467" w:rsidRDefault="00324AF0" w:rsidP="000936EC">
      <w:pPr>
        <w:widowControl w:val="0"/>
        <w:autoSpaceDE w:val="0"/>
        <w:autoSpaceDN w:val="0"/>
        <w:spacing w:after="120" w:line="276" w:lineRule="auto"/>
        <w:ind w:right="96"/>
        <w:jc w:val="both"/>
        <w:rPr>
          <w:rFonts w:eastAsia="Times New Roman"/>
          <w:color w:val="auto"/>
          <w:sz w:val="21"/>
          <w:szCs w:val="21"/>
          <w:lang w:val="es-CO"/>
        </w:rPr>
      </w:pPr>
      <w:r w:rsidRPr="002C4467">
        <w:rPr>
          <w:rFonts w:eastAsia="Arial MT"/>
          <w:b/>
          <w:color w:val="auto"/>
          <w:sz w:val="21"/>
          <w:szCs w:val="21"/>
          <w:lang w:eastAsia="en-US"/>
        </w:rPr>
        <w:t>Artículo</w:t>
      </w:r>
      <w:r w:rsidRPr="002C4467">
        <w:rPr>
          <w:rFonts w:eastAsia="Arial MT"/>
          <w:b/>
          <w:color w:val="auto"/>
          <w:spacing w:val="-8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5.</w:t>
      </w:r>
      <w:r w:rsidRPr="002C4467">
        <w:rPr>
          <w:rFonts w:eastAsia="Arial MT"/>
          <w:b/>
          <w:color w:val="auto"/>
          <w:spacing w:val="-8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Cumplimiento</w:t>
      </w:r>
      <w:r w:rsidRPr="002C4467">
        <w:rPr>
          <w:rFonts w:eastAsia="Arial MT"/>
          <w:b/>
          <w:color w:val="auto"/>
          <w:spacing w:val="-8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del</w:t>
      </w:r>
      <w:r w:rsidRPr="002C4467">
        <w:rPr>
          <w:rFonts w:eastAsia="Arial MT"/>
          <w:b/>
          <w:color w:val="auto"/>
          <w:spacing w:val="-8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b/>
          <w:color w:val="auto"/>
          <w:sz w:val="21"/>
          <w:szCs w:val="21"/>
          <w:lang w:eastAsia="en-US"/>
        </w:rPr>
        <w:t>acuerdo:</w:t>
      </w:r>
      <w:r w:rsidRPr="002C4467">
        <w:rPr>
          <w:rFonts w:eastAsia="Arial MT"/>
          <w:b/>
          <w:color w:val="auto"/>
          <w:spacing w:val="-7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El </w:t>
      </w:r>
      <w:r w:rsidR="000936EC">
        <w:rPr>
          <w:rFonts w:eastAsia="Arial MT"/>
          <w:color w:val="auto"/>
          <w:sz w:val="21"/>
          <w:szCs w:val="21"/>
          <w:lang w:eastAsia="en-US"/>
        </w:rPr>
        <w:t>D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istrito </w:t>
      </w:r>
      <w:r w:rsidR="000936EC">
        <w:rPr>
          <w:rFonts w:eastAsia="Arial MT"/>
          <w:color w:val="auto"/>
          <w:sz w:val="21"/>
          <w:szCs w:val="21"/>
          <w:lang w:eastAsia="en-US"/>
        </w:rPr>
        <w:t xml:space="preserve">Capital 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a través de </w:t>
      </w:r>
      <w:r w:rsidR="000936EC">
        <w:rPr>
          <w:rFonts w:eastAsia="Arial MT"/>
          <w:color w:val="auto"/>
          <w:sz w:val="21"/>
          <w:szCs w:val="21"/>
          <w:lang w:eastAsia="en-US"/>
        </w:rPr>
        <w:t>la Secretaría Distrital de Seguridad</w:t>
      </w:r>
      <w:r w:rsidRPr="002C4467">
        <w:rPr>
          <w:rFonts w:eastAsia="Arial MT"/>
          <w:color w:val="auto"/>
          <w:sz w:val="21"/>
          <w:szCs w:val="21"/>
          <w:lang w:eastAsia="en-US"/>
        </w:rPr>
        <w:t>,</w:t>
      </w:r>
      <w:r w:rsidR="000936EC">
        <w:rPr>
          <w:rFonts w:eastAsia="Arial MT"/>
          <w:color w:val="auto"/>
          <w:sz w:val="21"/>
          <w:szCs w:val="21"/>
          <w:lang w:eastAsia="en-US"/>
        </w:rPr>
        <w:t xml:space="preserve"> Convivencia y Justicia</w:t>
      </w:r>
      <w:r w:rsidRPr="002C4467">
        <w:rPr>
          <w:rFonts w:eastAsia="Arial MT"/>
          <w:color w:val="auto"/>
          <w:sz w:val="21"/>
          <w:szCs w:val="21"/>
          <w:lang w:eastAsia="en-US"/>
        </w:rPr>
        <w:t xml:space="preserve"> remitirá periódicamente un informe al Concejo de Bogotá evidenciando el avance y cumplimiento de lo ordenado en este proyecto de acuerdo, para hacerle</w:t>
      </w:r>
      <w:r w:rsidR="000936EC">
        <w:rPr>
          <w:rFonts w:eastAsia="Arial MT"/>
          <w:color w:val="auto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z w:val="21"/>
          <w:szCs w:val="21"/>
          <w:lang w:eastAsia="en-US"/>
        </w:rPr>
        <w:t>seguimiento</w:t>
      </w:r>
      <w:r w:rsidRPr="002C4467">
        <w:rPr>
          <w:rFonts w:eastAsia="Arial MT"/>
          <w:color w:val="auto"/>
          <w:spacing w:val="-5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z w:val="21"/>
          <w:szCs w:val="21"/>
          <w:lang w:eastAsia="en-US"/>
        </w:rPr>
        <w:t>a</w:t>
      </w:r>
      <w:r w:rsidRPr="002C4467">
        <w:rPr>
          <w:rFonts w:eastAsia="Arial MT"/>
          <w:color w:val="auto"/>
          <w:spacing w:val="-5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z w:val="21"/>
          <w:szCs w:val="21"/>
          <w:lang w:eastAsia="en-US"/>
        </w:rPr>
        <w:t>su</w:t>
      </w:r>
      <w:r w:rsidRPr="002C4467">
        <w:rPr>
          <w:rFonts w:eastAsia="Arial MT"/>
          <w:color w:val="auto"/>
          <w:spacing w:val="-4"/>
          <w:sz w:val="21"/>
          <w:szCs w:val="21"/>
          <w:lang w:eastAsia="en-US"/>
        </w:rPr>
        <w:t xml:space="preserve"> </w:t>
      </w:r>
      <w:r w:rsidRPr="002C4467">
        <w:rPr>
          <w:rFonts w:eastAsia="Arial MT"/>
          <w:color w:val="auto"/>
          <w:spacing w:val="-2"/>
          <w:sz w:val="21"/>
          <w:szCs w:val="21"/>
          <w:lang w:eastAsia="en-US"/>
        </w:rPr>
        <w:t>implementación.</w:t>
      </w:r>
    </w:p>
    <w:p w:rsidR="00324AF0" w:rsidRPr="002C4467" w:rsidRDefault="00324AF0" w:rsidP="00324AF0">
      <w:pPr>
        <w:spacing w:after="240"/>
        <w:rPr>
          <w:rFonts w:eastAsia="Times New Roman"/>
          <w:color w:val="auto"/>
          <w:sz w:val="21"/>
          <w:szCs w:val="21"/>
          <w:lang w:val="es-CO"/>
        </w:rPr>
      </w:pPr>
      <w:r w:rsidRPr="002C4467">
        <w:rPr>
          <w:b/>
          <w:color w:val="auto"/>
          <w:sz w:val="21"/>
          <w:szCs w:val="21"/>
        </w:rPr>
        <w:t xml:space="preserve">Artículo 6. </w:t>
      </w:r>
      <w:r w:rsidRPr="002C4467">
        <w:rPr>
          <w:b/>
          <w:sz w:val="21"/>
          <w:szCs w:val="21"/>
        </w:rPr>
        <w:t xml:space="preserve">Vigencia. </w:t>
      </w:r>
      <w:r w:rsidRPr="002C4467">
        <w:rPr>
          <w:sz w:val="21"/>
          <w:szCs w:val="21"/>
        </w:rPr>
        <w:t xml:space="preserve">El presente Acuerdo rige a partir de la fecha de su </w:t>
      </w:r>
      <w:r w:rsidRPr="002C4467">
        <w:rPr>
          <w:spacing w:val="-2"/>
          <w:sz w:val="21"/>
          <w:szCs w:val="21"/>
        </w:rPr>
        <w:t>publicación.</w:t>
      </w:r>
    </w:p>
    <w:p w:rsidR="00DF0AA2" w:rsidRPr="002C4467" w:rsidRDefault="00324AF0" w:rsidP="00324AF0">
      <w:pPr>
        <w:spacing w:before="252"/>
        <w:ind w:left="1320" w:right="1721"/>
        <w:jc w:val="center"/>
        <w:rPr>
          <w:sz w:val="21"/>
          <w:szCs w:val="21"/>
        </w:rPr>
      </w:pPr>
      <w:r w:rsidRPr="002C4467">
        <w:rPr>
          <w:b/>
          <w:sz w:val="21"/>
          <w:szCs w:val="21"/>
        </w:rPr>
        <w:t xml:space="preserve">PUBLÍQUESE </w:t>
      </w:r>
      <w:r w:rsidRPr="002C4467">
        <w:rPr>
          <w:b/>
          <w:spacing w:val="-7"/>
          <w:sz w:val="21"/>
          <w:szCs w:val="21"/>
        </w:rPr>
        <w:t>Y</w:t>
      </w:r>
      <w:r w:rsidRPr="002C4467">
        <w:rPr>
          <w:b/>
          <w:spacing w:val="-6"/>
          <w:sz w:val="21"/>
          <w:szCs w:val="21"/>
        </w:rPr>
        <w:t xml:space="preserve"> </w:t>
      </w:r>
      <w:r w:rsidRPr="002C4467">
        <w:rPr>
          <w:b/>
          <w:spacing w:val="-2"/>
          <w:sz w:val="21"/>
          <w:szCs w:val="21"/>
        </w:rPr>
        <w:t>CÚMPLASE</w:t>
      </w:r>
    </w:p>
    <w:sectPr w:rsidR="00DF0AA2" w:rsidRPr="002C4467" w:rsidSect="00324AF0">
      <w:pgSz w:w="12240" w:h="15840"/>
      <w:pgMar w:top="113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56A" w:rsidRDefault="00DC056A" w:rsidP="00324AF0">
      <w:r>
        <w:separator/>
      </w:r>
    </w:p>
  </w:endnote>
  <w:endnote w:type="continuationSeparator" w:id="0">
    <w:p w:rsidR="00DC056A" w:rsidRDefault="00DC056A" w:rsidP="0032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56A" w:rsidRDefault="00DC056A" w:rsidP="00324AF0">
      <w:r>
        <w:separator/>
      </w:r>
    </w:p>
  </w:footnote>
  <w:footnote w:type="continuationSeparator" w:id="0">
    <w:p w:rsidR="00DC056A" w:rsidRDefault="00DC056A" w:rsidP="00324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AF0"/>
    <w:rsid w:val="000936EC"/>
    <w:rsid w:val="002C4467"/>
    <w:rsid w:val="00324AF0"/>
    <w:rsid w:val="00517DB3"/>
    <w:rsid w:val="00593939"/>
    <w:rsid w:val="009335C8"/>
    <w:rsid w:val="00A50704"/>
    <w:rsid w:val="00AD0ABB"/>
    <w:rsid w:val="00D952E0"/>
    <w:rsid w:val="00DC056A"/>
    <w:rsid w:val="00DF0AA2"/>
    <w:rsid w:val="00E0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7DA2D"/>
  <w15:chartTrackingRefBased/>
  <w15:docId w15:val="{82F36A0B-D6E5-48B1-A5AF-259815BC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AF0"/>
    <w:pPr>
      <w:spacing w:after="0" w:line="240" w:lineRule="auto"/>
    </w:pPr>
    <w:rPr>
      <w:rFonts w:ascii="Arial" w:eastAsia="Arial" w:hAnsi="Arial" w:cs="Arial"/>
      <w:color w:val="000000"/>
      <w:sz w:val="24"/>
      <w:szCs w:val="24"/>
      <w:lang w:val="es-ES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4AF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4AF0"/>
    <w:rPr>
      <w:rFonts w:ascii="Arial" w:eastAsia="Arial" w:hAnsi="Arial" w:cs="Arial"/>
      <w:color w:val="000000"/>
      <w:sz w:val="24"/>
      <w:szCs w:val="24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rsid w:val="00324AF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AF0"/>
    <w:rPr>
      <w:rFonts w:ascii="Arial" w:eastAsia="Arial" w:hAnsi="Arial" w:cs="Arial"/>
      <w:color w:val="000000"/>
      <w:sz w:val="24"/>
      <w:szCs w:val="24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ANTONIO GARZON FANDIÑO</dc:creator>
  <cp:keywords/>
  <dc:description/>
  <cp:lastModifiedBy>LEONIETH MICHELLE ROJAS GIL</cp:lastModifiedBy>
  <cp:revision>2</cp:revision>
  <dcterms:created xsi:type="dcterms:W3CDTF">2025-03-13T22:50:00Z</dcterms:created>
  <dcterms:modified xsi:type="dcterms:W3CDTF">2025-03-13T22:50:00Z</dcterms:modified>
</cp:coreProperties>
</file>